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2026年重庆高速集团网络安全运维及技术服务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507319889"/>
      <w:bookmarkStart w:id="2" w:name="_Toc247085669"/>
      <w:bookmarkStart w:id="3" w:name="_Toc296602400"/>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10076"/>
      <w:bookmarkStart w:id="7" w:name="_Toc246996901"/>
      <w:bookmarkStart w:id="8" w:name="_Toc11329213"/>
      <w:bookmarkStart w:id="9" w:name="_Toc152042288"/>
      <w:bookmarkStart w:id="10" w:name="_Toc6549"/>
      <w:bookmarkStart w:id="11" w:name="_Toc24874"/>
      <w:bookmarkStart w:id="12" w:name="_Toc247085672"/>
      <w:bookmarkStart w:id="13" w:name="_Toc144974480"/>
      <w:bookmarkStart w:id="14" w:name="_Toc152045512"/>
      <w:bookmarkStart w:id="15" w:name="_Toc507319891"/>
      <w:bookmarkStart w:id="16" w:name="_Toc179632528"/>
      <w:bookmarkStart w:id="17" w:name="_Toc13849"/>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2026年重庆高速集团网络安全运维及技术服务</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152045513"/>
      <w:bookmarkStart w:id="20" w:name="_Toc7760"/>
      <w:bookmarkStart w:id="21" w:name="_Toc246996902"/>
      <w:bookmarkStart w:id="22" w:name="_Toc11329214"/>
      <w:bookmarkStart w:id="23" w:name="_Toc246996159"/>
      <w:bookmarkStart w:id="24" w:name="_Toc21343"/>
      <w:bookmarkStart w:id="25" w:name="_Toc18109"/>
      <w:bookmarkStart w:id="26" w:name="_Toc152042289"/>
      <w:bookmarkStart w:id="27" w:name="_Toc179632529"/>
      <w:bookmarkStart w:id="28" w:name="_Toc10952"/>
      <w:bookmarkStart w:id="29" w:name="_Toc507319892"/>
      <w:bookmarkStart w:id="30" w:name="_Toc144974481"/>
      <w:bookmarkStart w:id="31" w:name="_Toc247085673"/>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382816230"/>
      <w:bookmarkStart w:id="33"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r>
        <w:rPr>
          <w:rFonts w:hint="eastAsia" w:ascii="宋体" w:hAnsi="宋体" w:cs="宋体"/>
          <w:color w:val="auto"/>
          <w:szCs w:val="21"/>
          <w:highlight w:val="none"/>
          <w:u w:val="single"/>
          <w:lang w:val="en-US" w:eastAsia="zh-CN"/>
        </w:rPr>
        <w:t>2026年重庆高速集团网络安全运维及技术服务。本次涉及的服务内容包括：安全管理体系建设服务、资产测绘、等保服务、培训及演练服务、应急响应服务、新建信息化项目安全保障、日常巡检、风险评估等。</w:t>
      </w:r>
      <w:bookmarkEnd w:id="35"/>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36" w:name="预算金额"/>
      <w:r>
        <w:rPr>
          <w:rFonts w:hint="eastAsia" w:ascii="宋体" w:hAnsi="宋体" w:cs="宋体"/>
          <w:color w:val="auto"/>
          <w:szCs w:val="21"/>
          <w:highlight w:val="none"/>
          <w:u w:val="single"/>
          <w:lang w:val="en-US" w:eastAsia="zh-CN"/>
        </w:rPr>
        <w:t>3</w:t>
      </w:r>
      <w:bookmarkEnd w:id="36"/>
      <w:r>
        <w:rPr>
          <w:rFonts w:hint="eastAsia" w:ascii="宋体" w:hAnsi="宋体" w:cs="宋体"/>
          <w:color w:val="auto"/>
          <w:szCs w:val="21"/>
          <w:highlight w:val="none"/>
          <w:u w:val="single"/>
          <w:lang w:val="en-US" w:eastAsia="zh-CN"/>
        </w:rPr>
        <w:t>0.96</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7" w:name="工期、货期要求"/>
      <w:r>
        <w:rPr>
          <w:rFonts w:hint="eastAsia" w:ascii="宋体" w:hAnsi="宋体" w:eastAsia="宋体" w:cs="宋体"/>
          <w:color w:val="auto"/>
          <w:szCs w:val="21"/>
          <w:highlight w:val="none"/>
          <w:u w:val="single"/>
        </w:rPr>
        <w:t>服务期为一年，2026年1月1日至2026年12月31日。</w:t>
      </w:r>
      <w:bookmarkEnd w:id="37"/>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8" w:name="_Toc246996903"/>
      <w:bookmarkStart w:id="39" w:name="_Toc507319893"/>
      <w:bookmarkStart w:id="40" w:name="_Toc10171"/>
      <w:bookmarkStart w:id="41" w:name="_Toc152042290"/>
      <w:bookmarkStart w:id="42" w:name="_Toc247085674"/>
      <w:bookmarkStart w:id="43" w:name="_Toc179632530"/>
      <w:bookmarkStart w:id="44" w:name="_Toc246996160"/>
      <w:bookmarkStart w:id="45" w:name="_Toc7065"/>
      <w:bookmarkStart w:id="46" w:name="_Toc30356"/>
      <w:bookmarkStart w:id="47" w:name="_Toc11329215"/>
      <w:bookmarkStart w:id="48" w:name="_Toc144974482"/>
      <w:bookmarkStart w:id="49" w:name="_Toc152045514"/>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50" w:name="标段划分"/>
      <w:r>
        <w:rPr>
          <w:rFonts w:hint="eastAsia" w:ascii="宋体" w:hAnsi="宋体" w:cs="宋体"/>
          <w:b w:val="0"/>
          <w:bCs w:val="0"/>
          <w:color w:val="auto"/>
          <w:kern w:val="2"/>
          <w:sz w:val="21"/>
          <w:szCs w:val="24"/>
          <w:highlight w:val="none"/>
          <w:u w:val="single"/>
          <w:lang w:val="en-US" w:eastAsia="zh-CN" w:bidi="ar-SA"/>
        </w:rPr>
        <w:t>1</w:t>
      </w:r>
      <w:bookmarkEnd w:id="50"/>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1" w:name="_Toc13092"/>
      <w:r>
        <w:rPr>
          <w:rFonts w:hint="eastAsia" w:ascii="宋体" w:hAnsi="宋体" w:eastAsia="宋体" w:cs="宋体"/>
          <w:color w:val="auto"/>
          <w:highlight w:val="none"/>
        </w:rPr>
        <w:t>3. 报价人资格要求</w:t>
      </w:r>
      <w:bookmarkEnd w:id="38"/>
      <w:bookmarkEnd w:id="39"/>
      <w:bookmarkEnd w:id="40"/>
      <w:bookmarkEnd w:id="41"/>
      <w:bookmarkEnd w:id="42"/>
      <w:bookmarkEnd w:id="43"/>
      <w:bookmarkEnd w:id="44"/>
      <w:bookmarkEnd w:id="45"/>
      <w:bookmarkEnd w:id="46"/>
      <w:bookmarkEnd w:id="47"/>
      <w:bookmarkEnd w:id="48"/>
      <w:bookmarkEnd w:id="49"/>
      <w:bookmarkEnd w:id="51"/>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2" w:name="_Toc152042291"/>
      <w:bookmarkStart w:id="53" w:name="_Toc247085675"/>
      <w:bookmarkStart w:id="54" w:name="_Toc179632531"/>
      <w:bookmarkStart w:id="55" w:name="_Toc144974483"/>
      <w:bookmarkStart w:id="56" w:name="_Toc152045515"/>
      <w:bookmarkStart w:id="57" w:name="_Toc246996904"/>
      <w:bookmarkStart w:id="58" w:name="_Toc246996161"/>
      <w:r>
        <w:rPr>
          <w:rFonts w:hint="eastAsia" w:ascii="宋体" w:hAnsi="宋体" w:cs="宋体"/>
          <w:color w:val="auto"/>
          <w:sz w:val="21"/>
          <w:szCs w:val="21"/>
          <w:highlight w:val="none"/>
          <w:lang w:val="en-US" w:eastAsia="zh-CN"/>
        </w:rPr>
        <w:t>3.1 资质要求：</w:t>
      </w:r>
      <w:bookmarkStart w:id="59" w:name="资质要求"/>
      <w:r>
        <w:rPr>
          <w:rFonts w:hint="eastAsia" w:ascii="宋体" w:hAnsi="宋体" w:cs="宋体"/>
          <w:color w:val="auto"/>
          <w:sz w:val="21"/>
          <w:szCs w:val="21"/>
          <w:highlight w:val="none"/>
          <w:lang w:val="en-US" w:eastAsia="zh-CN"/>
        </w:rPr>
        <w:t>报价人具有独立法人资格及有效的营业执照。</w:t>
      </w:r>
      <w:bookmarkEnd w:id="59"/>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60" w:name="业绩要求"/>
      <w:r>
        <w:rPr>
          <w:rFonts w:hint="eastAsia" w:ascii="宋体" w:hAnsi="宋体" w:eastAsia="宋体" w:cs="宋体"/>
          <w:color w:val="auto"/>
          <w:sz w:val="21"/>
          <w:szCs w:val="21"/>
          <w:highlight w:val="none"/>
          <w:lang w:val="en-US" w:eastAsia="zh-CN"/>
        </w:rPr>
        <w:t>2022年1月1日至报价截止日期（以合同签订时间为准）至少独立完成一项合同金额不低于15万元的网络安全建设或服务项目相关业绩</w:t>
      </w:r>
      <w:bookmarkEnd w:id="60"/>
      <w:r>
        <w:rPr>
          <w:rFonts w:hint="eastAsia" w:ascii="宋体" w:hAnsi="宋体" w:cs="宋体"/>
          <w:color w:val="auto"/>
          <w:sz w:val="21"/>
          <w:szCs w:val="21"/>
          <w:highlight w:val="none"/>
          <w:lang w:val="en-US" w:eastAsia="zh-CN"/>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1" w:name="_Toc13035"/>
      <w:bookmarkStart w:id="62" w:name="_Toc507319894"/>
      <w:bookmarkStart w:id="63" w:name="_Toc11329216"/>
      <w:bookmarkStart w:id="64" w:name="_Toc25619"/>
      <w:bookmarkStart w:id="65" w:name="_Toc12460"/>
      <w:bookmarkStart w:id="66" w:name="_Toc14361"/>
      <w:r>
        <w:rPr>
          <w:rFonts w:hint="eastAsia" w:ascii="宋体" w:hAnsi="宋体" w:eastAsia="宋体" w:cs="宋体"/>
          <w:color w:val="auto"/>
          <w:highlight w:val="none"/>
        </w:rPr>
        <w:t>4. 评标办法</w:t>
      </w:r>
      <w:bookmarkEnd w:id="61"/>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7"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2"/>
      <w:bookmarkEnd w:id="53"/>
      <w:bookmarkEnd w:id="54"/>
      <w:bookmarkEnd w:id="55"/>
      <w:bookmarkEnd w:id="56"/>
      <w:bookmarkEnd w:id="57"/>
      <w:bookmarkEnd w:id="58"/>
      <w:bookmarkEnd w:id="62"/>
      <w:bookmarkEnd w:id="63"/>
      <w:bookmarkEnd w:id="64"/>
      <w:bookmarkEnd w:id="65"/>
      <w:bookmarkEnd w:id="66"/>
      <w:bookmarkEnd w:id="67"/>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8" w:name="_Toc507319895"/>
      <w:bookmarkStart w:id="69" w:name="_Toc247085676"/>
      <w:bookmarkStart w:id="70" w:name="_Toc11329217"/>
      <w:bookmarkStart w:id="71" w:name="_Toc152042292"/>
      <w:bookmarkStart w:id="72" w:name="_Toc179632532"/>
      <w:bookmarkStart w:id="73" w:name="_Toc144974484"/>
      <w:bookmarkStart w:id="74" w:name="_Toc152045516"/>
      <w:bookmarkStart w:id="75" w:name="_Toc246996905"/>
      <w:bookmarkStart w:id="76" w:name="_Toc24699616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7" w:name="_Toc31493"/>
      <w:bookmarkStart w:id="78" w:name="_Toc9131"/>
      <w:bookmarkStart w:id="79" w:name="_Toc16686"/>
      <w:bookmarkStart w:id="80" w:name="_Toc14325"/>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color w:val="auto"/>
          <w:highlight w:val="none"/>
        </w:rPr>
        <w:t>及相关事宜</w:t>
      </w:r>
      <w:bookmarkEnd w:id="77"/>
      <w:bookmarkEnd w:id="78"/>
      <w:bookmarkEnd w:id="79"/>
      <w:bookmarkEnd w:id="80"/>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1"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81"/>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2" w:name="_Toc21615"/>
      <w:bookmarkStart w:id="83" w:name="_Toc507319897"/>
      <w:bookmarkStart w:id="84" w:name="_Toc18402"/>
      <w:bookmarkStart w:id="85" w:name="_Toc247085678"/>
      <w:bookmarkStart w:id="86" w:name="_Toc246996907"/>
      <w:bookmarkStart w:id="87" w:name="_Toc393"/>
      <w:bookmarkStart w:id="88" w:name="_Toc152042293"/>
      <w:bookmarkStart w:id="89" w:name="_Toc4010"/>
      <w:bookmarkStart w:id="90" w:name="_Toc246996164"/>
      <w:bookmarkStart w:id="91" w:name="_Toc144974485"/>
      <w:bookmarkStart w:id="92" w:name="_Toc179632534"/>
      <w:bookmarkStart w:id="93" w:name="_Toc11329219"/>
      <w:bookmarkStart w:id="94" w:name="_Toc152045517"/>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2"/>
      <w:bookmarkEnd w:id="83"/>
      <w:bookmarkEnd w:id="84"/>
      <w:bookmarkEnd w:id="85"/>
      <w:bookmarkEnd w:id="86"/>
      <w:bookmarkEnd w:id="87"/>
      <w:bookmarkEnd w:id="88"/>
      <w:bookmarkEnd w:id="89"/>
      <w:bookmarkEnd w:id="90"/>
      <w:bookmarkEnd w:id="91"/>
      <w:bookmarkEnd w:id="92"/>
      <w:bookmarkEnd w:id="93"/>
      <w:bookmarkEnd w:id="94"/>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bookmarkStart w:id="95" w:name="OLE_LINK1" w:colFirst="0" w:colLast="0"/>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李</w:t>
            </w:r>
            <w:r>
              <w:rPr>
                <w:rFonts w:hint="eastAsia" w:ascii="宋体" w:hAnsi="宋体" w:cs="宋体"/>
                <w:szCs w:val="21"/>
                <w:highlight w:val="none"/>
              </w:rPr>
              <w:t>老师  电 话：</w:t>
            </w:r>
            <w:r>
              <w:rPr>
                <w:rFonts w:hint="eastAsia" w:ascii="宋体" w:hAnsi="宋体" w:cs="宋体"/>
                <w:szCs w:val="21"/>
                <w:highlight w:val="none"/>
                <w:lang w:val="en-US" w:eastAsia="zh-CN"/>
              </w:rPr>
              <w:t>18978029455</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bookmarkEnd w:id="95"/>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6" w:name="_Toc152045527"/>
      <w:bookmarkStart w:id="97" w:name="_Toc2000405"/>
      <w:bookmarkStart w:id="98" w:name="_Toc247085687"/>
      <w:bookmarkStart w:id="99" w:name="_Toc246996173"/>
      <w:bookmarkStart w:id="100" w:name="_Toc507319898"/>
      <w:bookmarkStart w:id="101" w:name="_Toc246996916"/>
      <w:bookmarkStart w:id="102" w:name="_Toc179632544"/>
      <w:bookmarkStart w:id="103" w:name="_Toc152042303"/>
      <w:bookmarkStart w:id="104" w:name="_Toc144974495"/>
      <w:r>
        <w:rPr>
          <w:rFonts w:hint="eastAsia" w:ascii="宋体" w:hAnsi="宋体" w:cs="宋体"/>
          <w:color w:val="auto"/>
          <w:highlight w:val="none"/>
        </w:rPr>
        <w:br w:type="page"/>
      </w:r>
      <w:bookmarkStart w:id="105" w:name="_Toc12865"/>
      <w:r>
        <w:rPr>
          <w:rFonts w:hint="eastAsia" w:ascii="宋体" w:hAnsi="宋体" w:cs="宋体"/>
          <w:color w:val="auto"/>
          <w:highlight w:val="none"/>
        </w:rPr>
        <w:t>第二章 报价人须知</w:t>
      </w:r>
      <w:bookmarkEnd w:id="96"/>
      <w:bookmarkEnd w:id="97"/>
      <w:bookmarkEnd w:id="98"/>
      <w:bookmarkEnd w:id="99"/>
      <w:bookmarkEnd w:id="100"/>
      <w:bookmarkEnd w:id="101"/>
      <w:bookmarkEnd w:id="102"/>
      <w:bookmarkEnd w:id="103"/>
      <w:bookmarkEnd w:id="104"/>
      <w:bookmarkEnd w:id="10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6"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7" w:name="单据名称2"/>
            <w:r>
              <w:rPr>
                <w:rFonts w:hint="eastAsia" w:ascii="宋体" w:hAnsi="宋体" w:cs="宋体"/>
                <w:i w:val="0"/>
                <w:iCs w:val="0"/>
                <w:color w:val="auto"/>
                <w:szCs w:val="21"/>
                <w:highlight w:val="none"/>
                <w:u w:val="single"/>
                <w:lang w:val="en-US" w:eastAsia="zh-CN"/>
              </w:rPr>
              <w:t>2026年重庆高速集团网络安全运维及技术服务</w:t>
            </w:r>
            <w:bookmarkEnd w:id="1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309684.00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8" w:name="支付方式"/>
            <w:r>
              <w:rPr>
                <w:rFonts w:hint="eastAsia" w:ascii="宋体" w:hAnsi="宋体" w:cs="宋体"/>
                <w:b w:val="0"/>
                <w:bCs w:val="0"/>
                <w:color w:val="auto"/>
                <w:sz w:val="21"/>
                <w:szCs w:val="21"/>
                <w:highlight w:val="none"/>
                <w:lang w:val="en-US" w:eastAsia="zh-CN"/>
              </w:rPr>
              <w:t>合同签订完成后，乙方履行完合同要求的全部工作并根据合同内容提供全套流程资料及相应的专业安全报告后，甲方向乙方支付至合同金额的100%。</w:t>
            </w:r>
            <w:bookmarkEnd w:id="10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9" w:name="是否提供投标保证金"/>
            <w:r>
              <w:rPr>
                <w:rFonts w:hint="eastAsia" w:hAnsi="宋体" w:cs="宋体"/>
                <w:b w:val="0"/>
                <w:bCs w:val="0"/>
                <w:color w:val="auto"/>
                <w:kern w:val="0"/>
                <w:sz w:val="21"/>
                <w:szCs w:val="18"/>
                <w:highlight w:val="none"/>
                <w:lang w:val="en-US" w:eastAsia="zh-CN" w:bidi="ar"/>
              </w:rPr>
              <w:t>是</w:t>
            </w:r>
            <w:bookmarkEnd w:id="109"/>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10" w:name="投标保证金"/>
            <w:r>
              <w:rPr>
                <w:rFonts w:hint="eastAsia" w:hAnsi="宋体" w:cs="宋体"/>
                <w:color w:val="auto"/>
                <w:sz w:val="21"/>
                <w:szCs w:val="21"/>
                <w:highlight w:val="none"/>
                <w:u w:val="single"/>
                <w:lang w:val="en-US" w:eastAsia="zh-CN"/>
              </w:rPr>
              <w:t>3000.00</w:t>
            </w:r>
            <w:bookmarkEnd w:id="110"/>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11" w:name="单据名称3"/>
            <w:r>
              <w:rPr>
                <w:rFonts w:hint="eastAsia" w:ascii="宋体" w:hAnsi="宋体" w:eastAsia="宋体" w:cs="宋体"/>
                <w:i w:val="0"/>
                <w:iCs w:val="0"/>
                <w:color w:val="auto"/>
                <w:sz w:val="21"/>
                <w:szCs w:val="21"/>
                <w:highlight w:val="none"/>
                <w:u w:val="single"/>
              </w:rPr>
              <w:t>2026年重庆高速集团网络安全运维及技术服务</w:t>
            </w:r>
            <w:bookmarkEnd w:id="111"/>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2" w:name="是否提供履约保证金"/>
            <w:r>
              <w:rPr>
                <w:rFonts w:hint="eastAsia" w:hAnsi="宋体" w:cs="宋体"/>
                <w:b w:val="0"/>
                <w:bCs w:val="0"/>
                <w:color w:val="auto"/>
                <w:kern w:val="0"/>
                <w:sz w:val="21"/>
                <w:szCs w:val="18"/>
                <w:highlight w:val="none"/>
                <w:lang w:val="en-US" w:eastAsia="zh-CN" w:bidi="ar"/>
              </w:rPr>
              <w:t>是</w:t>
            </w:r>
            <w:bookmarkEnd w:id="112"/>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3" w:name="履约保证金"/>
            <w:r>
              <w:rPr>
                <w:rFonts w:hint="eastAsia" w:hAnsi="宋体"/>
                <w:color w:val="auto"/>
                <w:kern w:val="2"/>
                <w:sz w:val="21"/>
                <w:szCs w:val="21"/>
                <w:highlight w:val="none"/>
                <w:u w:val="single"/>
                <w:lang w:val="en-US" w:eastAsia="zh-CN"/>
              </w:rPr>
              <w:t>合同金额的5%</w:t>
            </w:r>
            <w:bookmarkEnd w:id="113"/>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4" w:name="单据名称4"/>
            <w:r>
              <w:rPr>
                <w:rFonts w:hint="eastAsia" w:ascii="宋体" w:hAnsi="宋体" w:eastAsia="宋体" w:cs="宋体"/>
                <w:i w:val="0"/>
                <w:iCs w:val="0"/>
                <w:color w:val="auto"/>
                <w:sz w:val="21"/>
                <w:szCs w:val="21"/>
                <w:highlight w:val="none"/>
                <w:u w:val="single"/>
              </w:rPr>
              <w:t>2026年重庆高速集团网络安全运维及技术服务</w:t>
            </w:r>
            <w:bookmarkEnd w:id="114"/>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15" w:name="是否提供低价风险担保金"/>
            <w:r>
              <w:rPr>
                <w:rFonts w:hint="eastAsia" w:ascii="宋体" w:hAnsi="宋体" w:cs="宋体"/>
                <w:b w:val="0"/>
                <w:bCs w:val="0"/>
                <w:color w:val="auto"/>
                <w:kern w:val="0"/>
                <w:sz w:val="21"/>
                <w:szCs w:val="18"/>
                <w:highlight w:val="none"/>
                <w:lang w:val="en-US" w:eastAsia="zh-CN" w:bidi="ar"/>
              </w:rPr>
              <w:t>是</w:t>
            </w:r>
            <w:bookmarkEnd w:id="115"/>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6"/>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6" w:name="_Hlt227984024"/>
      <w:bookmarkEnd w:id="116"/>
    </w:p>
    <w:p>
      <w:pPr>
        <w:pStyle w:val="4"/>
        <w:jc w:val="center"/>
        <w:rPr>
          <w:rFonts w:ascii="宋体" w:hAnsi="宋体" w:eastAsia="宋体" w:cs="宋体"/>
          <w:bCs w:val="0"/>
          <w:color w:val="auto"/>
          <w:sz w:val="28"/>
          <w:szCs w:val="28"/>
          <w:highlight w:val="none"/>
        </w:rPr>
      </w:pPr>
      <w:bookmarkStart w:id="117" w:name="_Toc30198"/>
      <w:bookmarkStart w:id="118" w:name="_Toc11284"/>
      <w:bookmarkStart w:id="119" w:name="_Toc17532"/>
      <w:bookmarkStart w:id="120" w:name="_Toc11329222"/>
      <w:bookmarkStart w:id="121" w:name="_Toc21580"/>
      <w:r>
        <w:rPr>
          <w:rFonts w:hint="eastAsia" w:ascii="宋体" w:hAnsi="宋体" w:eastAsia="宋体" w:cs="宋体"/>
          <w:color w:val="auto"/>
          <w:sz w:val="28"/>
          <w:szCs w:val="28"/>
          <w:highlight w:val="none"/>
        </w:rPr>
        <w:t xml:space="preserve">附录1  </w:t>
      </w:r>
      <w:bookmarkEnd w:id="117"/>
      <w:bookmarkEnd w:id="118"/>
      <w:bookmarkEnd w:id="119"/>
      <w:bookmarkEnd w:id="120"/>
      <w:bookmarkStart w:id="122" w:name="_Toc12773"/>
      <w:bookmarkStart w:id="123" w:name="_Toc11329226"/>
      <w:bookmarkStart w:id="124" w:name="_Toc27096"/>
      <w:bookmarkStart w:id="125" w:name="_Toc25591"/>
      <w:r>
        <w:rPr>
          <w:rFonts w:hint="eastAsia" w:ascii="宋体" w:hAnsi="宋体" w:eastAsia="宋体" w:cs="宋体"/>
          <w:bCs w:val="0"/>
          <w:color w:val="auto"/>
          <w:sz w:val="28"/>
          <w:szCs w:val="28"/>
          <w:highlight w:val="none"/>
        </w:rPr>
        <w:t>报价人资格要求</w:t>
      </w:r>
      <w:bookmarkEnd w:id="121"/>
      <w:bookmarkEnd w:id="122"/>
      <w:bookmarkEnd w:id="123"/>
      <w:bookmarkEnd w:id="124"/>
      <w:bookmarkEnd w:id="125"/>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6" w:name="_Toc387234996"/>
            <w:bookmarkStart w:id="127"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8" w:name="资质要求1"/>
            <w:r>
              <w:rPr>
                <w:rFonts w:hint="eastAsia" w:ascii="宋体" w:hAnsi="宋体" w:eastAsia="宋体" w:cs="宋体"/>
                <w:i w:val="0"/>
                <w:iCs w:val="0"/>
                <w:caps w:val="0"/>
                <w:color w:val="auto"/>
                <w:spacing w:val="0"/>
                <w:sz w:val="21"/>
                <w:szCs w:val="21"/>
                <w:highlight w:val="none"/>
                <w:shd w:val="clear" w:fill="FCFCFC"/>
              </w:rPr>
              <w:t>报价人具有独立法人资格及有效的营业执照。</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9" w:name="业绩要求1"/>
            <w:r>
              <w:rPr>
                <w:rFonts w:hint="eastAsia" w:ascii="宋体" w:hAnsi="宋体" w:eastAsia="宋体" w:cs="宋体"/>
                <w:color w:val="auto"/>
                <w:sz w:val="21"/>
                <w:szCs w:val="21"/>
                <w:highlight w:val="none"/>
                <w:lang w:val="en-US" w:eastAsia="zh-CN"/>
              </w:rPr>
              <w:t>2022年1月1日至报价截止日期（以合同签订时间为准）至少独立完成一项合同金额不低于15万元的网络安全建设或服务项目相关业绩</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30"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31" w:name="其他人员要求"/>
            <w:r>
              <w:rPr>
                <w:rFonts w:hint="eastAsia" w:ascii="宋体" w:hAnsi="宋体" w:cs="宋体"/>
                <w:b w:val="0"/>
                <w:bCs w:val="0"/>
                <w:color w:val="auto"/>
                <w:szCs w:val="21"/>
                <w:highlight w:val="none"/>
                <w:lang w:val="en-US" w:eastAsia="zh-CN"/>
              </w:rPr>
              <w:t>维护人员2人，为报价人公司正式员工且该单位有3年及以上工作经验。</w:t>
            </w:r>
            <w:bookmarkEnd w:id="1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bookmarkStart w:id="242" w:name="_GoBack"/>
      <w:r>
        <w:rPr>
          <w:rFonts w:hint="eastAsia"/>
          <w:b/>
          <w:bCs/>
          <w:color w:val="auto"/>
          <w:sz w:val="21"/>
          <w:szCs w:val="21"/>
          <w:highlight w:val="none"/>
          <w:lang w:val="en-US" w:eastAsia="zh-CN"/>
        </w:rPr>
        <w:t>4.提供人员资格要求承诺函（格式自拟）。</w:t>
      </w:r>
      <w:bookmarkEnd w:id="242"/>
    </w:p>
    <w:bookmarkEnd w:id="126"/>
    <w:bookmarkEnd w:id="127"/>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32" w:name="_Toc31719"/>
      <w:bookmarkStart w:id="133" w:name="_Toc31054"/>
      <w:r>
        <w:rPr>
          <w:rFonts w:hint="eastAsia" w:ascii="宋体" w:hAnsi="宋体" w:cs="宋体"/>
          <w:color w:val="auto"/>
          <w:highlight w:val="none"/>
        </w:rPr>
        <w:t>评标办法（综合评估法）</w:t>
      </w:r>
      <w:bookmarkEnd w:id="132"/>
      <w:bookmarkEnd w:id="133"/>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i/>
                <w:iCs/>
                <w:szCs w:val="21"/>
                <w:highlight w:val="none"/>
              </w:rPr>
              <w:t>项目实施方案（</w:t>
            </w:r>
            <w:r>
              <w:rPr>
                <w:rFonts w:hint="eastAsia" w:asciiTheme="minorEastAsia" w:hAnsiTheme="minorEastAsia" w:eastAsiaTheme="minorEastAsia" w:cstheme="minorEastAsia"/>
                <w:i/>
                <w:iCs/>
                <w:szCs w:val="21"/>
                <w:highlight w:val="none"/>
                <w:lang w:val="en-US" w:eastAsia="zh-CN"/>
              </w:rPr>
              <w:t>2</w:t>
            </w:r>
            <w:r>
              <w:rPr>
                <w:rFonts w:hint="eastAsia" w:asciiTheme="minorEastAsia" w:hAnsiTheme="minorEastAsia" w:eastAsiaTheme="minorEastAsia" w:cstheme="minorEastAsia"/>
                <w:i/>
                <w:iCs/>
                <w:szCs w:val="21"/>
                <w:highlight w:val="none"/>
              </w:rPr>
              <w:t>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default" w:ascii="宋体" w:hAnsi="宋体" w:eastAsia="宋体" w:cs="宋体"/>
                <w:bCs/>
                <w:szCs w:val="21"/>
                <w:highlight w:val="none"/>
                <w:lang w:bidi="ar"/>
              </w:rPr>
            </w:pPr>
            <w:r>
              <w:rPr>
                <w:rFonts w:hint="eastAsia" w:ascii="宋体" w:hAnsi="宋体" w:eastAsia="宋体" w:cs="宋体"/>
                <w:bCs/>
                <w:szCs w:val="21"/>
                <w:highlight w:val="none"/>
                <w:lang w:bidi="ar"/>
              </w:rPr>
              <w:t>提供完整的技术方案，可完全覆盖招标要求，对</w:t>
            </w:r>
            <w:r>
              <w:rPr>
                <w:rFonts w:hint="eastAsia" w:ascii="宋体" w:hAnsi="宋体" w:eastAsia="宋体" w:cs="宋体"/>
                <w:bCs/>
                <w:szCs w:val="21"/>
                <w:highlight w:val="none"/>
                <w:lang w:val="en-US" w:eastAsia="zh-CN" w:bidi="ar"/>
              </w:rPr>
              <w:t>采购</w:t>
            </w:r>
            <w:r>
              <w:rPr>
                <w:rFonts w:hint="eastAsia" w:ascii="宋体" w:hAnsi="宋体" w:eastAsia="宋体" w:cs="宋体"/>
                <w:bCs/>
                <w:szCs w:val="21"/>
                <w:highlight w:val="none"/>
                <w:lang w:bidi="ar"/>
              </w:rPr>
              <w:t>人现状及业务有较深的理解，能够站在</w:t>
            </w:r>
            <w:r>
              <w:rPr>
                <w:rFonts w:hint="eastAsia" w:ascii="宋体" w:hAnsi="宋体" w:eastAsia="宋体" w:cs="宋体"/>
                <w:bCs/>
                <w:szCs w:val="21"/>
                <w:highlight w:val="none"/>
                <w:lang w:val="en-US" w:eastAsia="zh-CN" w:bidi="ar"/>
              </w:rPr>
              <w:t>采购</w:t>
            </w:r>
            <w:r>
              <w:rPr>
                <w:rFonts w:hint="eastAsia" w:ascii="宋体" w:hAnsi="宋体" w:eastAsia="宋体" w:cs="宋体"/>
                <w:bCs/>
                <w:szCs w:val="21"/>
                <w:highlight w:val="none"/>
                <w:lang w:bidi="ar"/>
              </w:rPr>
              <w:t>人角度合理规划工作定位，为安全工作提供有价值的建议。提出完善的项目管理方案，并对项目风险管理、沟通管理等有明确的质量控制方法。</w:t>
            </w:r>
          </w:p>
          <w:p>
            <w:pPr>
              <w:keepNext w:val="0"/>
              <w:keepLines w:val="0"/>
              <w:suppressLineNumbers w:val="0"/>
              <w:adjustRightInd w:val="0"/>
              <w:snapToGrid w:val="0"/>
              <w:spacing w:before="0" w:beforeAutospacing="0" w:after="0" w:afterAutospacing="0" w:line="400" w:lineRule="exact"/>
              <w:ind w:left="0" w:leftChars="0" w:right="0" w:rightChars="0"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eastAsia="宋体" w:cs="宋体"/>
                <w:bCs/>
                <w:szCs w:val="21"/>
                <w:highlight w:val="none"/>
                <w:lang w:bidi="ar"/>
              </w:rPr>
              <w:t>注：方案内容合理、可行性</w:t>
            </w:r>
            <w:r>
              <w:rPr>
                <w:rFonts w:hint="eastAsia" w:ascii="宋体" w:hAnsi="宋体" w:cs="宋体"/>
                <w:bCs/>
                <w:szCs w:val="21"/>
                <w:highlight w:val="none"/>
                <w:lang w:bidi="ar"/>
              </w:rPr>
              <w:t>高、完整性好，内容全面结构清晰得</w:t>
            </w:r>
            <w:r>
              <w:rPr>
                <w:rFonts w:hint="eastAsia" w:ascii="宋体" w:hAnsi="宋体" w:cs="宋体"/>
                <w:bCs/>
                <w:szCs w:val="21"/>
                <w:highlight w:val="none"/>
                <w:lang w:val="en-US" w:eastAsia="zh-CN" w:bidi="ar"/>
              </w:rPr>
              <w:t>20</w:t>
            </w:r>
            <w:r>
              <w:rPr>
                <w:rFonts w:hint="eastAsia" w:ascii="宋体" w:hAnsi="宋体" w:cs="宋体"/>
                <w:highlight w:val="none"/>
              </w:rPr>
              <w:t>~</w:t>
            </w:r>
            <w:r>
              <w:rPr>
                <w:rFonts w:hint="eastAsia" w:ascii="宋体" w:hAnsi="宋体" w:cs="宋体"/>
                <w:highlight w:val="none"/>
                <w:lang w:val="en-US" w:eastAsia="zh-CN"/>
              </w:rPr>
              <w:t>16</w:t>
            </w:r>
            <w:r>
              <w:rPr>
                <w:rFonts w:hint="eastAsia" w:ascii="宋体" w:hAnsi="宋体" w:cs="宋体"/>
                <w:bCs/>
                <w:szCs w:val="21"/>
                <w:highlight w:val="none"/>
                <w:lang w:bidi="ar"/>
              </w:rPr>
              <w:t>分；方案内容较合理性、可行性较高、完整性一般、内容全面结构一般得</w:t>
            </w:r>
            <w:r>
              <w:rPr>
                <w:rFonts w:hint="eastAsia" w:ascii="宋体" w:hAnsi="宋体" w:cs="宋体"/>
                <w:bCs/>
                <w:szCs w:val="21"/>
                <w:highlight w:val="none"/>
                <w:lang w:val="en-US" w:eastAsia="zh-CN" w:bidi="ar"/>
              </w:rPr>
              <w:t>16</w:t>
            </w:r>
            <w:r>
              <w:rPr>
                <w:rFonts w:hint="eastAsia" w:ascii="宋体" w:hAnsi="宋体" w:cs="宋体"/>
                <w:highlight w:val="none"/>
              </w:rPr>
              <w:t>~</w:t>
            </w:r>
            <w:r>
              <w:rPr>
                <w:rFonts w:hint="eastAsia" w:ascii="宋体" w:hAnsi="宋体" w:cs="宋体"/>
                <w:highlight w:val="none"/>
                <w:lang w:val="en-US" w:eastAsia="zh-CN"/>
              </w:rPr>
              <w:t>12</w:t>
            </w:r>
            <w:r>
              <w:rPr>
                <w:rFonts w:hint="eastAsia" w:ascii="宋体" w:hAnsi="宋体" w:cs="宋体"/>
                <w:bCs/>
                <w:szCs w:val="21"/>
                <w:highlight w:val="none"/>
                <w:lang w:bidi="ar"/>
              </w:rPr>
              <w:t>分；方案内容应不合理性、不具有可行性、完整性较差、内容全面结构模糊得</w:t>
            </w:r>
            <w:r>
              <w:rPr>
                <w:rFonts w:hint="eastAsia" w:ascii="宋体" w:hAnsi="宋体" w:cs="宋体"/>
                <w:bCs/>
                <w:szCs w:val="21"/>
                <w:highlight w:val="none"/>
                <w:lang w:val="en-US" w:eastAsia="zh-CN" w:bidi="ar"/>
              </w:rPr>
              <w:t>12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Theme="minorEastAsia" w:hAnsiTheme="minorEastAsia" w:eastAsiaTheme="minorEastAsia" w:cstheme="minorEastAsia"/>
                <w:i/>
                <w:iCs/>
                <w:szCs w:val="21"/>
                <w:highlight w:val="none"/>
                <w:lang w:val="en-US" w:eastAsia="zh-CN"/>
              </w:rPr>
              <w:t>人员配置（3分）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widowControl w:val="0"/>
              <w:numPr>
                <w:ilvl w:val="0"/>
                <w:numId w:val="3"/>
              </w:numPr>
              <w:suppressLineNumbers w:val="0"/>
              <w:spacing w:before="0" w:beforeAutospacing="0" w:after="0" w:afterAutospacing="0" w:line="400" w:lineRule="exact"/>
              <w:ind w:left="0" w:right="0" w:firstLine="420" w:firstLineChars="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项目负责人具备有效的CISP证书或信息安全工程师证书，得2分，</w:t>
            </w:r>
            <w:r>
              <w:rPr>
                <w:rFonts w:hint="eastAsia" w:ascii="宋体" w:hAnsi="宋体" w:eastAsia="宋体" w:cs="宋体"/>
                <w:kern w:val="0"/>
                <w:sz w:val="21"/>
                <w:szCs w:val="21"/>
                <w:highlight w:val="none"/>
                <w:lang w:val="en-US" w:eastAsia="zh-CN" w:bidi="ar"/>
              </w:rPr>
              <w:t>本项最多得2分。</w:t>
            </w:r>
          </w:p>
          <w:p>
            <w:pPr>
              <w:keepNext w:val="0"/>
              <w:keepLines w:val="0"/>
              <w:widowControl w:val="0"/>
              <w:numPr>
                <w:ilvl w:val="0"/>
                <w:numId w:val="3"/>
              </w:numPr>
              <w:suppressLineNumbers w:val="0"/>
              <w:spacing w:before="0" w:beforeAutospacing="0" w:after="0" w:afterAutospacing="0" w:line="400" w:lineRule="exact"/>
              <w:ind w:left="0" w:right="0" w:firstLine="420" w:firstLineChars="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项目团队成员具备有效的CISP证书或信息安全工程师证书，得1分，</w:t>
            </w:r>
            <w:r>
              <w:rPr>
                <w:rFonts w:hint="eastAsia" w:ascii="宋体" w:hAnsi="宋体" w:eastAsia="宋体" w:cs="宋体"/>
                <w:kern w:val="0"/>
                <w:sz w:val="21"/>
                <w:szCs w:val="21"/>
                <w:highlight w:val="none"/>
                <w:lang w:val="en-US" w:eastAsia="zh-CN" w:bidi="ar"/>
              </w:rPr>
              <w:t>本项最多得1分。</w:t>
            </w:r>
          </w:p>
          <w:p>
            <w:pPr>
              <w:keepNext w:val="0"/>
              <w:keepLines w:val="0"/>
              <w:widowControl w:val="0"/>
              <w:suppressLineNumbers w:val="0"/>
              <w:spacing w:before="0" w:beforeAutospacing="0" w:after="0" w:afterAutospacing="0" w:line="400" w:lineRule="exact"/>
              <w:ind w:left="0" w:leftChars="0" w:right="0" w:rightChars="0" w:firstLine="420" w:firstLineChars="0"/>
              <w:jc w:val="both"/>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eastAsia="宋体" w:cs="宋体"/>
                <w:b/>
                <w:bCs/>
                <w:kern w:val="0"/>
                <w:sz w:val="21"/>
                <w:szCs w:val="21"/>
                <w:highlight w:val="none"/>
                <w:shd w:val="clear" w:fill="FFFFFF"/>
                <w:lang w:val="en-US" w:eastAsia="zh-CN" w:bidi="ar"/>
              </w:rPr>
              <w:t>注：</w:t>
            </w:r>
            <w:r>
              <w:rPr>
                <w:rFonts w:hint="eastAsia" w:ascii="宋体" w:hAnsi="宋体" w:eastAsia="宋体" w:cs="宋体"/>
                <w:b/>
                <w:bCs/>
                <w:kern w:val="2"/>
                <w:sz w:val="21"/>
                <w:szCs w:val="21"/>
                <w:highlight w:val="none"/>
                <w:lang w:val="en-US" w:eastAsia="zh-CN" w:bidi="ar"/>
              </w:rPr>
              <w:t>以上人员需提供相应人员身份证、证书复印件及报价人为以上人员缴纳的2025年5月至2025年10月间连续三个月社保证明材料，</w:t>
            </w:r>
            <w:r>
              <w:rPr>
                <w:rFonts w:hint="eastAsia" w:ascii="宋体" w:hAnsi="宋体" w:eastAsia="宋体" w:cs="宋体"/>
                <w:b/>
                <w:bCs/>
                <w:kern w:val="0"/>
                <w:sz w:val="21"/>
                <w:szCs w:val="21"/>
                <w:highlight w:val="none"/>
                <w:shd w:val="clear" w:fill="FFFFFF"/>
                <w:lang w:val="en-US" w:eastAsia="zh-CN" w:bidi="ar"/>
              </w:rPr>
              <w:t>每个人员不重复加分</w:t>
            </w:r>
            <w:r>
              <w:rPr>
                <w:rFonts w:hint="eastAsia" w:ascii="宋体" w:hAnsi="宋体" w:eastAsia="宋体" w:cs="宋体"/>
                <w:kern w:val="2"/>
                <w:sz w:val="21"/>
                <w:szCs w:val="21"/>
                <w:highlight w:val="none"/>
                <w:lang w:val="en-US" w:eastAsia="zh-CN" w:bidi="ar"/>
              </w:rPr>
              <w:t>。</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lang w:val="en-US" w:eastAsia="zh-CN"/>
              </w:rPr>
              <w:t>财务要求（1分）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widowControl w:val="0"/>
              <w:suppressLineNumbers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报价人2022年、2023年以及2024年经营状况良好，3年连续不亏损得1分，其他情况不得分。</w:t>
            </w:r>
          </w:p>
          <w:p>
            <w:pPr>
              <w:keepNext w:val="0"/>
              <w:keepLines w:val="0"/>
              <w:widowControl w:val="0"/>
              <w:suppressLineNumbers w:val="0"/>
              <w:spacing w:before="0" w:beforeAutospacing="0" w:after="0" w:afterAutospacing="0" w:line="320" w:lineRule="exact"/>
              <w:ind w:left="0" w:leftChars="0" w:right="0" w:rightChars="0"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kern w:val="2"/>
                <w:sz w:val="21"/>
                <w:szCs w:val="21"/>
                <w:highlight w:val="none"/>
                <w:lang w:val="en-US" w:eastAsia="zh-CN" w:bidi="ar"/>
              </w:rPr>
              <w:t>注：提供2022年-2024年第三方审计机构出具的审计报告复印件，并加盖单位公章。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textAlignment w:val="baseline"/>
              <w:rPr>
                <w:rFonts w:hint="eastAsia"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lang w:val="en-US" w:eastAsia="zh-CN"/>
              </w:rPr>
              <w:t>报价人</w:t>
            </w:r>
          </w:p>
          <w:p>
            <w:pPr>
              <w:keepNext w:val="0"/>
              <w:keepLines w:val="0"/>
              <w:suppressLineNumbers w:val="0"/>
              <w:adjustRightInd w:val="0"/>
              <w:snapToGrid w:val="0"/>
              <w:spacing w:before="0" w:beforeAutospacing="0" w:after="0" w:afterAutospacing="0" w:line="400" w:lineRule="exact"/>
              <w:ind w:left="0" w:right="0"/>
              <w:jc w:val="center"/>
              <w:textAlignment w:val="baseline"/>
              <w:rPr>
                <w:rFonts w:hint="eastAsia"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lang w:val="en-US" w:eastAsia="zh-CN"/>
              </w:rPr>
              <w:t>业绩</w:t>
            </w:r>
          </w:p>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lang w:val="en-US" w:eastAsia="zh-CN"/>
              </w:rPr>
              <w:t>（6分）</w:t>
            </w:r>
          </w:p>
        </w:tc>
        <w:tc>
          <w:tcPr>
            <w:tcW w:w="6280" w:type="dxa"/>
            <w:gridSpan w:val="2"/>
            <w:tcBorders>
              <w:top w:val="single" w:color="auto" w:sz="4" w:space="0"/>
              <w:left w:val="single" w:color="auto" w:sz="4" w:space="0"/>
              <w:bottom w:val="single" w:color="auto" w:sz="4" w:space="0"/>
            </w:tcBorders>
            <w:vAlign w:val="center"/>
          </w:tcPr>
          <w:p>
            <w:pPr>
              <w:pStyle w:val="37"/>
              <w:keepNext w:val="0"/>
              <w:keepLines w:val="0"/>
              <w:widowControl/>
              <w:suppressLineNumbers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满足资格业绩要求得2分，</w:t>
            </w:r>
          </w:p>
          <w:p>
            <w:pPr>
              <w:pStyle w:val="37"/>
              <w:keepNext w:val="0"/>
              <w:keepLines w:val="0"/>
              <w:widowControl/>
              <w:suppressLineNumbers w:val="0"/>
              <w:spacing w:before="0" w:beforeAutospacing="0" w:after="0" w:afterAutospacing="0" w:line="400" w:lineRule="exact"/>
              <w:ind w:left="0" w:right="0" w:firstLine="420" w:firstLineChars="200"/>
              <w:jc w:val="left"/>
              <w:rPr>
                <w:rFonts w:hint="eastAsia" w:ascii="宋体" w:hAnsi="宋体" w:eastAsia="宋体" w:cs="宋体"/>
                <w:bCs/>
                <w:kern w:val="2"/>
                <w:sz w:val="21"/>
                <w:szCs w:val="21"/>
                <w:highlight w:val="none"/>
              </w:rPr>
            </w:pPr>
            <w:r>
              <w:rPr>
                <w:rFonts w:hint="eastAsia" w:ascii="宋体" w:hAnsi="宋体" w:eastAsia="宋体" w:cs="宋体"/>
                <w:kern w:val="0"/>
                <w:sz w:val="21"/>
                <w:szCs w:val="21"/>
                <w:highlight w:val="none"/>
                <w:lang w:val="en-US" w:eastAsia="zh-CN" w:bidi="ar"/>
              </w:rPr>
              <w:t>在满足资格业绩要求的基础上，</w:t>
            </w:r>
            <w:r>
              <w:rPr>
                <w:rFonts w:hint="eastAsia" w:ascii="宋体" w:hAnsi="宋体" w:eastAsia="宋体" w:cs="宋体"/>
                <w:bCs/>
                <w:kern w:val="2"/>
                <w:sz w:val="21"/>
                <w:szCs w:val="21"/>
                <w:highlight w:val="none"/>
                <w:lang w:val="en-US" w:eastAsia="zh-CN" w:bidi="ar"/>
              </w:rPr>
              <w:t>报价人在</w:t>
            </w:r>
            <w:r>
              <w:rPr>
                <w:rFonts w:hint="eastAsia" w:ascii="宋体" w:hAnsi="宋体" w:eastAsia="宋体" w:cs="宋体"/>
                <w:kern w:val="0"/>
                <w:sz w:val="21"/>
                <w:szCs w:val="21"/>
                <w:highlight w:val="none"/>
                <w:lang w:val="en-US" w:eastAsia="zh-CN" w:bidi="ar"/>
              </w:rPr>
              <w:t>2022年1月1日至投标截止日（以合同签订时间为准）每增加1个合同金额不低于15万元的网络安全建设或服务项目相关业绩</w:t>
            </w:r>
            <w:r>
              <w:rPr>
                <w:rFonts w:hint="eastAsia" w:ascii="宋体" w:hAnsi="宋体" w:eastAsia="宋体" w:cs="宋体"/>
                <w:b w:val="0"/>
                <w:bCs w:val="0"/>
                <w:kern w:val="2"/>
                <w:sz w:val="21"/>
                <w:szCs w:val="21"/>
                <w:highlight w:val="none"/>
                <w:lang w:val="en-US" w:eastAsia="zh-CN" w:bidi="ar"/>
              </w:rPr>
              <w:t>，</w:t>
            </w:r>
            <w:r>
              <w:rPr>
                <w:rFonts w:hint="eastAsia" w:ascii="宋体" w:hAnsi="宋体" w:eastAsia="宋体" w:cs="宋体"/>
                <w:kern w:val="0"/>
                <w:sz w:val="21"/>
                <w:szCs w:val="21"/>
                <w:highlight w:val="none"/>
                <w:lang w:val="en-US" w:eastAsia="zh-CN" w:bidi="ar"/>
              </w:rPr>
              <w:t>得2分，本项最多得4分。</w:t>
            </w:r>
          </w:p>
          <w:p>
            <w:pPr>
              <w:keepNext w:val="0"/>
              <w:keepLines w:val="0"/>
              <w:widowControl w:val="0"/>
              <w:suppressLineNumbers w:val="0"/>
              <w:autoSpaceDE w:val="0"/>
              <w:autoSpaceDN/>
              <w:spacing w:before="0" w:beforeAutospacing="0" w:after="0" w:afterAutospacing="0" w:line="400" w:lineRule="exact"/>
              <w:ind w:left="0" w:leftChars="0" w:right="0" w:rightChars="0" w:firstLine="422" w:firstLineChars="200"/>
              <w:jc w:val="both"/>
              <w:rPr>
                <w:rFonts w:asciiTheme="minorEastAsia" w:hAnsiTheme="minorEastAsia" w:eastAsiaTheme="minorEastAsia" w:cstheme="minorEastAsia"/>
                <w:bCs/>
                <w:color w:val="auto"/>
                <w:szCs w:val="21"/>
                <w:highlight w:val="none"/>
              </w:rPr>
            </w:pPr>
            <w:r>
              <w:rPr>
                <w:rFonts w:hint="eastAsia" w:ascii="宋体" w:hAnsi="宋体" w:eastAsia="宋体" w:cs="宋体"/>
                <w:b/>
                <w:bCs/>
                <w:kern w:val="2"/>
                <w:sz w:val="21"/>
                <w:szCs w:val="21"/>
                <w:highlight w:val="none"/>
                <w:lang w:val="en-US" w:eastAsia="zh-CN" w:bidi="ar"/>
              </w:rPr>
              <w:t>注：提供合同</w:t>
            </w:r>
            <w:r>
              <w:rPr>
                <w:rFonts w:hint="eastAsia" w:ascii="宋体" w:hAnsi="宋体" w:eastAsia="宋体" w:cs="宋体"/>
                <w:b/>
                <w:bCs/>
                <w:kern w:val="2"/>
                <w:sz w:val="21"/>
                <w:szCs w:val="21"/>
                <w:highlight w:val="none"/>
                <w:shd w:val="clear" w:fill="FFFFFF"/>
                <w:lang w:val="en-US" w:eastAsia="zh-CN" w:bidi="ar"/>
              </w:rPr>
              <w:t>复印件</w:t>
            </w:r>
            <w:r>
              <w:rPr>
                <w:rFonts w:hint="eastAsia" w:ascii="宋体" w:hAnsi="宋体" w:eastAsia="宋体" w:cs="宋体"/>
                <w:b/>
                <w:bCs/>
                <w:kern w:val="2"/>
                <w:sz w:val="21"/>
                <w:szCs w:val="21"/>
                <w:highlight w:val="none"/>
                <w:lang w:val="en-US" w:eastAsia="zh-CN" w:bidi="ar"/>
              </w:rPr>
              <w:t>（合同需清晰反映上述业绩要求的主要内容，包括但不限于合同签订时间、合同金额及合同内容），</w:t>
            </w:r>
            <w:r>
              <w:rPr>
                <w:rFonts w:hint="eastAsia" w:ascii="宋体" w:hAnsi="宋体" w:eastAsia="宋体" w:cs="宋体"/>
                <w:b/>
                <w:bCs/>
                <w:kern w:val="0"/>
                <w:sz w:val="21"/>
                <w:szCs w:val="21"/>
                <w:highlight w:val="none"/>
                <w:lang w:val="en-US" w:eastAsia="zh-CN" w:bidi="ar"/>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分，每下浮1%扣0.2</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w:t>
            </w:r>
            <w:r>
              <w:rPr>
                <w:rFonts w:hint="eastAsia" w:asciiTheme="minorEastAsia" w:hAnsiTheme="minorEastAsia" w:eastAsiaTheme="minorEastAsia" w:cstheme="minorEastAsia"/>
                <w:color w:val="auto"/>
                <w:kern w:val="2"/>
                <w:sz w:val="21"/>
                <w:szCs w:val="21"/>
                <w:highlight w:val="none"/>
                <w:lang w:val="en-US" w:eastAsia="zh-CN"/>
              </w:rPr>
              <w:t>至多扣10分</w:t>
            </w:r>
            <w:r>
              <w:rPr>
                <w:rFonts w:hint="eastAsia" w:asciiTheme="minorEastAsia" w:hAnsiTheme="minorEastAsia" w:eastAsiaTheme="minorEastAsia" w:cstheme="minorEastAsia"/>
                <w:color w:val="auto"/>
                <w:kern w:val="2"/>
                <w:sz w:val="21"/>
                <w:szCs w:val="21"/>
                <w:highlight w:val="none"/>
              </w:rPr>
              <w:t>。按插入法计算得分。以上计算取小数点后两位，第三位四舍五入。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rPr>
          <w:color w:val="auto"/>
          <w:highlight w:val="none"/>
        </w:rPr>
      </w:pP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4" w:name="_Toc19268"/>
      <w:bookmarkStart w:id="135" w:name="_Toc6735"/>
      <w:bookmarkStart w:id="136" w:name="_Toc26037"/>
      <w:r>
        <w:rPr>
          <w:rFonts w:hint="eastAsia" w:ascii="宋体" w:hAnsi="宋体" w:cs="宋体"/>
          <w:color w:val="auto"/>
          <w:szCs w:val="21"/>
          <w:highlight w:val="none"/>
        </w:rPr>
        <w:t>1.  评标方法</w:t>
      </w:r>
      <w:bookmarkEnd w:id="134"/>
      <w:bookmarkEnd w:id="135"/>
      <w:bookmarkEnd w:id="136"/>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7" w:name="_Toc31759"/>
      <w:bookmarkStart w:id="138" w:name="_Toc8753"/>
      <w:bookmarkStart w:id="139" w:name="_Toc1052"/>
      <w:bookmarkStart w:id="140" w:name="_Toc22200"/>
      <w:r>
        <w:rPr>
          <w:rFonts w:hint="eastAsia" w:ascii="宋体" w:hAnsi="宋体" w:cs="宋体"/>
          <w:color w:val="auto"/>
          <w:szCs w:val="21"/>
          <w:highlight w:val="none"/>
        </w:rPr>
        <w:t>2.  评审标准</w:t>
      </w:r>
      <w:bookmarkEnd w:id="137"/>
      <w:bookmarkEnd w:id="138"/>
      <w:bookmarkEnd w:id="139"/>
      <w:bookmarkEnd w:id="140"/>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41" w:name="_Toc10650"/>
      <w:bookmarkStart w:id="142" w:name="_Toc11564"/>
      <w:bookmarkStart w:id="143" w:name="_Toc8345"/>
      <w:bookmarkStart w:id="144" w:name="_Toc5245"/>
      <w:r>
        <w:rPr>
          <w:rFonts w:hint="eastAsia" w:ascii="宋体" w:hAnsi="宋体" w:cs="宋体"/>
          <w:color w:val="auto"/>
          <w:szCs w:val="21"/>
          <w:highlight w:val="none"/>
        </w:rPr>
        <w:t>3.  评标程序</w:t>
      </w:r>
      <w:bookmarkEnd w:id="141"/>
      <w:bookmarkEnd w:id="142"/>
      <w:bookmarkEnd w:id="143"/>
      <w:bookmarkEnd w:id="144"/>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5" w:name="_Toc247085870"/>
      <w:bookmarkStart w:id="146" w:name="_Toc246996353"/>
      <w:bookmarkStart w:id="147" w:name="_Toc246997096"/>
      <w:bookmarkStart w:id="148" w:name="_Toc2000411"/>
      <w:bookmarkStart w:id="149" w:name="_Toc179632804"/>
      <w:bookmarkStart w:id="150" w:name="_Toc513633964"/>
      <w:bookmarkStart w:id="151" w:name="_Toc152045785"/>
      <w:bookmarkStart w:id="152" w:name="_Toc144974854"/>
      <w:bookmarkStart w:id="153" w:name="_Toc514858707"/>
      <w:bookmarkStart w:id="154" w:name="_Toc152042574"/>
      <w:bookmarkStart w:id="155" w:name="_Toc503951043"/>
      <w:bookmarkStart w:id="156" w:name="_Toc447827049"/>
      <w:bookmarkStart w:id="157" w:name="_Toc15010"/>
      <w:bookmarkStart w:id="158" w:name="_Toc247085872"/>
      <w:bookmarkStart w:id="159" w:name="_Toc152045786"/>
      <w:bookmarkStart w:id="160" w:name="_Toc246996354"/>
      <w:bookmarkStart w:id="161" w:name="_Toc144974855"/>
      <w:bookmarkStart w:id="162" w:name="_Toc152042575"/>
      <w:bookmarkStart w:id="163" w:name="_Toc179632806"/>
      <w:bookmarkStart w:id="164" w:name="_Toc246997097"/>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5"/>
      <w:bookmarkEnd w:id="146"/>
      <w:bookmarkEnd w:id="147"/>
      <w:bookmarkEnd w:id="148"/>
      <w:bookmarkEnd w:id="149"/>
      <w:bookmarkEnd w:id="150"/>
      <w:bookmarkEnd w:id="151"/>
      <w:bookmarkEnd w:id="152"/>
      <w:bookmarkEnd w:id="153"/>
      <w:bookmarkEnd w:id="154"/>
      <w:bookmarkEnd w:id="155"/>
      <w:bookmarkEnd w:id="156"/>
      <w:r>
        <w:rPr>
          <w:rFonts w:hint="eastAsia" w:ascii="宋体" w:hAnsi="宋体" w:cs="宋体"/>
          <w:color w:val="auto"/>
          <w:highlight w:val="none"/>
          <w:lang w:val="en-US" w:eastAsia="zh-CN"/>
        </w:rPr>
        <w:t>服务要求</w:t>
      </w:r>
      <w:bookmarkEnd w:id="157"/>
    </w:p>
    <w:bookmarkEnd w:id="158"/>
    <w:bookmarkEnd w:id="159"/>
    <w:bookmarkEnd w:id="160"/>
    <w:bookmarkEnd w:id="161"/>
    <w:bookmarkEnd w:id="162"/>
    <w:bookmarkEnd w:id="163"/>
    <w:bookmarkEnd w:id="164"/>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int="eastAsia" w:ascii="仿宋" w:hAnsi="仿宋" w:eastAsia="仿宋" w:cs="仿宋"/>
          <w:b/>
          <w:bCs/>
          <w:color w:val="auto"/>
          <w:szCs w:val="21"/>
          <w:highlight w:val="none"/>
          <w:lang w:val="en-US" w:eastAsia="zh-CN"/>
        </w:rPr>
      </w:pPr>
      <w:bookmarkStart w:id="165" w:name="_Toc2000412"/>
      <w:bookmarkStart w:id="166" w:name="_Toc514858708"/>
      <w:bookmarkStart w:id="167" w:name="_Toc514430114"/>
      <w:bookmarkStart w:id="168" w:name="_Toc144974856"/>
      <w:bookmarkStart w:id="169" w:name="_Toc152042576"/>
      <w:bookmarkStart w:id="170" w:name="_Toc246997098"/>
      <w:bookmarkStart w:id="171" w:name="_Toc247085873"/>
      <w:bookmarkStart w:id="172" w:name="_Toc179632807"/>
      <w:bookmarkStart w:id="173" w:name="_Toc507320039"/>
      <w:bookmarkStart w:id="174" w:name="_Toc246996355"/>
      <w:bookmarkStart w:id="175" w:name="_Toc152045787"/>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176" w:name="_Toc17525"/>
      <w:r>
        <w:rPr>
          <w:rFonts w:hint="eastAsia" w:ascii="宋体" w:hAnsi="宋体" w:eastAsia="宋体" w:cs="宋体"/>
          <w:b/>
          <w:bCs/>
          <w:color w:val="auto"/>
          <w:kern w:val="44"/>
          <w:sz w:val="44"/>
          <w:szCs w:val="44"/>
          <w:highlight w:val="none"/>
          <w:lang w:val="en-US" w:eastAsia="zh-CN" w:bidi="ar-SA"/>
        </w:rPr>
        <w:t xml:space="preserve">第五章  </w:t>
      </w:r>
      <w:bookmarkEnd w:id="165"/>
      <w:bookmarkEnd w:id="166"/>
      <w:bookmarkEnd w:id="167"/>
      <w:r>
        <w:rPr>
          <w:rFonts w:hint="eastAsia" w:ascii="宋体" w:hAnsi="宋体" w:eastAsia="宋体" w:cs="宋体"/>
          <w:b/>
          <w:bCs/>
          <w:color w:val="auto"/>
          <w:kern w:val="44"/>
          <w:sz w:val="44"/>
          <w:szCs w:val="44"/>
          <w:highlight w:val="none"/>
          <w:lang w:val="en-US" w:eastAsia="zh-CN" w:bidi="ar-SA"/>
        </w:rPr>
        <w:t>合同范本</w:t>
      </w:r>
      <w:bookmarkEnd w:id="176"/>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4"/>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7"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8" w:name="_Toc2000413"/>
      <w:bookmarkStart w:id="179" w:name="_Toc514858709"/>
      <w:bookmarkStart w:id="180" w:name="_Toc27626"/>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7"/>
      <w:bookmarkEnd w:id="178"/>
      <w:bookmarkEnd w:id="179"/>
      <w:bookmarkEnd w:id="180"/>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81" w:name="_Toc513646738"/>
      <w:bookmarkStart w:id="182" w:name="_Toc513633967"/>
      <w:bookmarkStart w:id="183" w:name="_Toc514858710"/>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81"/>
      <w:bookmarkEnd w:id="182"/>
      <w:bookmarkEnd w:id="183"/>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4" w:name="_Toc5459"/>
      <w:bookmarkStart w:id="185" w:name="_Toc11329273"/>
      <w:bookmarkStart w:id="186" w:name="_Toc28780"/>
      <w:bookmarkStart w:id="187" w:name="_Toc1368"/>
      <w:r>
        <w:rPr>
          <w:rFonts w:hint="eastAsia" w:ascii="宋体" w:hAnsi="宋体" w:eastAsia="宋体" w:cs="宋体"/>
          <w:color w:val="auto"/>
          <w:sz w:val="32"/>
          <w:szCs w:val="40"/>
          <w:highlight w:val="none"/>
        </w:rPr>
        <w:t>目    录</w:t>
      </w:r>
      <w:bookmarkEnd w:id="168"/>
      <w:bookmarkEnd w:id="169"/>
      <w:bookmarkEnd w:id="170"/>
      <w:bookmarkEnd w:id="171"/>
      <w:bookmarkEnd w:id="172"/>
      <w:bookmarkEnd w:id="173"/>
      <w:bookmarkEnd w:id="174"/>
      <w:bookmarkEnd w:id="175"/>
      <w:bookmarkEnd w:id="184"/>
      <w:bookmarkEnd w:id="185"/>
      <w:bookmarkEnd w:id="186"/>
      <w:bookmarkEnd w:id="187"/>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5"/>
        </w:numPr>
        <w:spacing w:before="0" w:after="0" w:line="360" w:lineRule="auto"/>
        <w:jc w:val="center"/>
        <w:rPr>
          <w:rFonts w:ascii="宋体" w:hAnsi="宋体" w:eastAsia="宋体" w:cs="宋体"/>
          <w:color w:val="auto"/>
          <w:sz w:val="28"/>
          <w:highlight w:val="none"/>
        </w:rPr>
      </w:pPr>
      <w:bookmarkStart w:id="188" w:name="_Toc29547"/>
      <w:bookmarkStart w:id="189" w:name="_Toc25874"/>
      <w:bookmarkStart w:id="190" w:name="_Toc29615"/>
      <w:bookmarkStart w:id="191" w:name="_Toc15863"/>
      <w:bookmarkStart w:id="192" w:name="_Toc513633969"/>
      <w:bookmarkStart w:id="193" w:name="_Toc503951048"/>
      <w:bookmarkStart w:id="194" w:name="_Toc447827053"/>
      <w:r>
        <w:rPr>
          <w:rFonts w:hint="eastAsia" w:ascii="宋体" w:hAnsi="宋体" w:eastAsia="宋体" w:cs="宋体"/>
          <w:color w:val="auto"/>
          <w:sz w:val="28"/>
          <w:highlight w:val="none"/>
        </w:rPr>
        <w:t>竞争比选响应声明书</w:t>
      </w:r>
      <w:bookmarkEnd w:id="188"/>
      <w:bookmarkEnd w:id="189"/>
      <w:bookmarkEnd w:id="190"/>
      <w:bookmarkEnd w:id="191"/>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95" w:name="_Toc27815"/>
      <w:bookmarkStart w:id="196"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5"/>
        </w:numPr>
        <w:spacing w:before="0" w:after="0" w:line="360" w:lineRule="auto"/>
        <w:jc w:val="center"/>
        <w:rPr>
          <w:rFonts w:hint="eastAsia" w:ascii="宋体" w:hAnsi="宋体" w:eastAsia="宋体" w:cs="宋体"/>
          <w:color w:val="auto"/>
          <w:sz w:val="28"/>
          <w:highlight w:val="none"/>
        </w:rPr>
      </w:pPr>
      <w:bookmarkStart w:id="197" w:name="_Toc15139"/>
      <w:r>
        <w:rPr>
          <w:rFonts w:hint="eastAsia" w:ascii="宋体" w:hAnsi="宋体" w:eastAsia="宋体" w:cs="宋体"/>
          <w:color w:val="auto"/>
          <w:sz w:val="28"/>
          <w:highlight w:val="none"/>
        </w:rPr>
        <w:t>法定代表人身份证明或法定代表人授权委托书</w:t>
      </w:r>
      <w:bookmarkEnd w:id="195"/>
      <w:bookmarkEnd w:id="197"/>
    </w:p>
    <w:bookmarkEnd w:id="196"/>
    <w:p>
      <w:pPr>
        <w:pStyle w:val="4"/>
        <w:spacing w:line="480" w:lineRule="auto"/>
        <w:jc w:val="center"/>
        <w:outlineLvl w:val="2"/>
        <w:rPr>
          <w:rFonts w:ascii="宋体" w:hAnsi="宋体" w:eastAsia="宋体" w:cs="宋体"/>
          <w:color w:val="auto"/>
          <w:sz w:val="24"/>
          <w:szCs w:val="24"/>
          <w:highlight w:val="none"/>
        </w:rPr>
      </w:pPr>
      <w:bookmarkStart w:id="198" w:name="_Toc20985"/>
      <w:bookmarkStart w:id="199" w:name="_Toc14141"/>
      <w:r>
        <w:rPr>
          <w:rFonts w:hint="eastAsia" w:ascii="宋体" w:hAnsi="宋体" w:eastAsia="宋体" w:cs="宋体"/>
          <w:color w:val="auto"/>
          <w:sz w:val="24"/>
          <w:szCs w:val="24"/>
          <w:highlight w:val="none"/>
        </w:rPr>
        <w:t>（一）法定代表人身份证明</w:t>
      </w:r>
      <w:bookmarkEnd w:id="198"/>
      <w:bookmarkEnd w:id="199"/>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00" w:name="_Toc27897"/>
      <w:bookmarkStart w:id="201" w:name="_Toc352691662"/>
      <w:bookmarkStart w:id="202" w:name="_Toc369531698"/>
      <w:r>
        <w:rPr>
          <w:rFonts w:ascii="宋体" w:hAnsi="宋体"/>
          <w:color w:val="auto"/>
          <w:highlight w:val="none"/>
          <w:u w:val="single"/>
        </w:rPr>
        <w:t xml:space="preserve">        </w:t>
      </w:r>
      <w:r>
        <w:rPr>
          <w:rFonts w:ascii="宋体" w:hAnsi="宋体"/>
          <w:color w:val="auto"/>
          <w:highlight w:val="none"/>
        </w:rPr>
        <w:t>年</w:t>
      </w:r>
      <w:bookmarkEnd w:id="200"/>
      <w:bookmarkEnd w:id="201"/>
      <w:bookmarkEnd w:id="202"/>
      <w:r>
        <w:rPr>
          <w:rFonts w:ascii="宋体" w:hAnsi="宋体"/>
          <w:color w:val="auto"/>
          <w:highlight w:val="none"/>
        </w:rPr>
        <w:t>龄</w:t>
      </w:r>
      <w:bookmarkStart w:id="203" w:name="_Toc15573"/>
      <w:bookmarkStart w:id="204" w:name="_Toc300835211"/>
      <w:bookmarkStart w:id="205" w:name="_Toc247527829"/>
      <w:bookmarkStart w:id="206" w:name="_Toc152042578"/>
      <w:bookmarkStart w:id="207" w:name="_Toc352691663"/>
      <w:bookmarkStart w:id="208" w:name="_Toc369531699"/>
      <w:bookmarkStart w:id="209" w:name="_Toc361508754"/>
      <w:bookmarkStart w:id="210" w:name="_Toc152045789"/>
      <w:bookmarkStart w:id="211" w:name="_Toc384308377"/>
      <w:bookmarkStart w:id="212" w:name="_Toc247514248"/>
      <w:bookmarkStart w:id="213" w:name="_Toc144974858"/>
      <w:r>
        <w:rPr>
          <w:rFonts w:ascii="宋体" w:hAnsi="宋体"/>
          <w:color w:val="auto"/>
          <w:highlight w:val="none"/>
        </w:rPr>
        <w:t>：</w:t>
      </w:r>
      <w:bookmarkEnd w:id="203"/>
      <w:bookmarkEnd w:id="204"/>
      <w:bookmarkEnd w:id="205"/>
      <w:bookmarkEnd w:id="206"/>
      <w:bookmarkEnd w:id="207"/>
      <w:bookmarkEnd w:id="208"/>
      <w:bookmarkEnd w:id="209"/>
      <w:bookmarkEnd w:id="210"/>
      <w:bookmarkEnd w:id="211"/>
      <w:bookmarkEnd w:id="212"/>
      <w:bookmarkEnd w:id="213"/>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14" w:name="_Toc491883233"/>
      <w:bookmarkStart w:id="215" w:name="_Toc58"/>
      <w:bookmarkStart w:id="216" w:name="_Toc3882"/>
      <w:r>
        <w:rPr>
          <w:rFonts w:hint="eastAsia" w:ascii="宋体" w:hAnsi="宋体" w:eastAsia="宋体" w:cs="宋体"/>
          <w:color w:val="auto"/>
          <w:sz w:val="24"/>
          <w:szCs w:val="24"/>
          <w:highlight w:val="none"/>
        </w:rPr>
        <w:t>（二）</w:t>
      </w:r>
      <w:bookmarkEnd w:id="214"/>
      <w:r>
        <w:rPr>
          <w:rFonts w:hint="eastAsia" w:ascii="宋体" w:hAnsi="宋体" w:eastAsia="宋体" w:cs="宋体"/>
          <w:color w:val="auto"/>
          <w:sz w:val="24"/>
          <w:szCs w:val="24"/>
          <w:highlight w:val="none"/>
        </w:rPr>
        <w:t>法定代表人授权委托书</w:t>
      </w:r>
      <w:bookmarkEnd w:id="215"/>
      <w:bookmarkEnd w:id="216"/>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7" w:name="_Toc11329275"/>
      <w:bookmarkStart w:id="218" w:name="_Toc31983"/>
      <w:r>
        <w:rPr>
          <w:rFonts w:hint="eastAsia" w:ascii="宋体" w:hAnsi="宋体" w:eastAsia="宋体" w:cs="宋体"/>
          <w:color w:val="auto"/>
          <w:sz w:val="28"/>
          <w:highlight w:val="none"/>
        </w:rPr>
        <w:t>三、</w:t>
      </w:r>
      <w:bookmarkEnd w:id="192"/>
      <w:bookmarkEnd w:id="193"/>
      <w:bookmarkEnd w:id="194"/>
      <w:bookmarkEnd w:id="217"/>
      <w:r>
        <w:rPr>
          <w:rFonts w:hint="eastAsia" w:ascii="宋体" w:hAnsi="宋体" w:eastAsia="宋体" w:cs="宋体"/>
          <w:color w:val="auto"/>
          <w:sz w:val="28"/>
          <w:highlight w:val="none"/>
        </w:rPr>
        <w:t>报价一览表</w:t>
      </w:r>
      <w:bookmarkEnd w:id="218"/>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9" w:name="_Toc11329278"/>
      <w:bookmarkStart w:id="220" w:name="_Toc503951050"/>
      <w:bookmarkStart w:id="221" w:name="_Toc513633971"/>
      <w:bookmarkStart w:id="222" w:name="_Toc246996369"/>
      <w:bookmarkStart w:id="223" w:name="_Toc152045803"/>
      <w:bookmarkStart w:id="224" w:name="_Toc179632823"/>
      <w:bookmarkStart w:id="225" w:name="_Toc152042592"/>
      <w:bookmarkStart w:id="226" w:name="_Toc144974871"/>
      <w:bookmarkStart w:id="227" w:name="_Toc447827058"/>
      <w:bookmarkStart w:id="228" w:name="_Toc246997112"/>
      <w:bookmarkStart w:id="229" w:name="_Toc247085887"/>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325" w:type="dxa"/>
        <w:tblInd w:w="-806" w:type="dxa"/>
        <w:tblLayout w:type="fixed"/>
        <w:tblCellMar>
          <w:top w:w="0" w:type="dxa"/>
          <w:left w:w="108" w:type="dxa"/>
          <w:bottom w:w="0" w:type="dxa"/>
          <w:right w:w="108" w:type="dxa"/>
        </w:tblCellMar>
      </w:tblPr>
      <w:tblGrid>
        <w:gridCol w:w="546"/>
        <w:gridCol w:w="818"/>
        <w:gridCol w:w="2879"/>
        <w:gridCol w:w="875"/>
        <w:gridCol w:w="712"/>
        <w:gridCol w:w="875"/>
        <w:gridCol w:w="800"/>
        <w:gridCol w:w="913"/>
        <w:gridCol w:w="907"/>
      </w:tblGrid>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服务项目</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1</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安全管理体系建设服务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参照国家及行业相关政策要求以及国内国际权威安全管理体系标准，结合工作实际，配合业主单位完善和修订网络安全、数据安全相关管理制度，完善安全管理体系，并对制度的可实施性、可操作性提出相关合理建议。</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lang w:val="en-US" w:eastAsia="zh-CN"/>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lang w:val="en-US" w:eastAsia="zh-CN"/>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2</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资产测绘</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通过爬虫、信息收集等技术手段，收集高速集团及下属单位的公网面资产信息，配合业主单位确认资产，每季度更新维护资产表</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3</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等保服务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根据等保2.0等相关文件要求，协助业主单位对需要备案的信息系统完成定级备案，协调和邀请专家对所有需要定级备案的信息系统进行定级报告评审；协助业主开展整改工作，确保顺利通过等保；协助开展等保测评工作，根据等保测评结果，制订合理的整改方案，并提供多种形式的技术响应和支持协助落实。</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4</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培训及演练服务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根据业主安排，提供培训、演练服务，每年至少一次；提供完善的培训实施计划、培训材料，由有网络安全相关资质的讲师承担；提供全面的演练实施方案，提供相关应急物资，提供演练技术服务，并形成完整的演练资料，根据演练情况完善或修改应急预案；根据业主单位完成保网/护网工作，提供全面的保网/护网方案，提供技术支撑，并形成完整的保网/护网材料，并在保网/护网期间安排驻场值守人员。</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5</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应急响应服务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提供重大时刻安全保障；对业主网站提供7*24小时实时监测服务；当业主单位发生网络安全事件或事件预警时，应半小时响应，并根据情况派出安全专家团队开展事件响应工作，制订应急处置方案，现场排查处理安全事件，保障业务系统的连续性，阻止和减小安全事件带来的负面影响；专家团队必须第一时间通过电话进行远程指导，一小时内到达现场；事后完善相关过程资料。</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6</w:t>
            </w:r>
          </w:p>
        </w:tc>
        <w:tc>
          <w:tcPr>
            <w:tcW w:w="8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lang w:eastAsia="zh-CN"/>
              </w:rPr>
            </w:pPr>
            <w:r>
              <w:rPr>
                <w:rFonts w:hint="eastAsia" w:asciiTheme="minorEastAsia" w:hAnsiTheme="minorEastAsia" w:eastAsiaTheme="minorEastAsia" w:cstheme="minorEastAsia"/>
                <w:color w:val="auto"/>
                <w:sz w:val="15"/>
                <w:szCs w:val="15"/>
                <w:highlight w:val="none"/>
              </w:rPr>
              <w:t>网络安全检查服务</w:t>
            </w:r>
            <w:r>
              <w:rPr>
                <w:rFonts w:hint="eastAsia" w:asciiTheme="minorEastAsia" w:hAnsiTheme="minorEastAsia" w:eastAsiaTheme="minorEastAsia" w:cstheme="minorEastAsia"/>
                <w:color w:val="auto"/>
                <w:sz w:val="15"/>
                <w:szCs w:val="15"/>
                <w:highlight w:val="none"/>
                <w:lang w:eastAsia="zh-CN"/>
              </w:rPr>
              <w:t>（专项安全检查）</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配合业主对业主及下属单位网络安全情况进行季度检查和不定期抽查，编制检查方案，形成检查记录，汇总分析，并提供可行整改方案；配合业主接受上级单位安全检查，编制迎检方案，协助准备迎检材料，做好前期迎检工作，现场协助检查，提供相关技术支持，对检查情况进行问题汇总分析，并提供可行整改方案；协助业主开展问题整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5"/>
                <w:szCs w:val="15"/>
                <w:highlight w:val="none"/>
                <w:u w:val="none"/>
                <w:lang w:val="en-US" w:eastAsia="zh-CN" w:bidi="ar"/>
              </w:rPr>
            </w:pPr>
          </w:p>
        </w:tc>
        <w:tc>
          <w:tcPr>
            <w:tcW w:w="81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5"/>
                <w:szCs w:val="15"/>
                <w:highlight w:val="none"/>
                <w:u w:val="none"/>
                <w:lang w:val="en-US" w:eastAsia="zh-CN" w:bidi="ar"/>
              </w:rPr>
            </w:pP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5"/>
                <w:szCs w:val="15"/>
                <w:highlight w:val="none"/>
                <w:u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重大节假日、重要会议、重大活动、敏感时期等重要期间前期配合业主开展节前巡检、安全自查、检查与整改，期间安全值守，形成相关方案、记录等。（24小时现场值班，至少2人同时在场）</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新建信息化项目安全保障</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对新系统提出整体安全建议及规划，发布上线前进行安全漏洞扫描、渗透测试等，并提供检测报告。</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日常巡检</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提供资产梳理及日常巡检服务，7*24小时网站实时安全监测、不定期对服务器、网络、终端关键设备开展日常巡检，并形成记录文档，并及时更新资产。</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风险评估</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每年至少开展一次风险评估。</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季度巡检</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每季度开展不少于一次的巡检服务，内容包括且不限于现场物理环境检查、渗透测试、风险评估、基线核查、WEB扫描、漏洞扫描、基线检查、弱口令、恶意代码检查、日志审计等。</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7</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加固服务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提供安全漏洞修复、安全基线配置、网络及主机安全策略优化等服务，若需外单位协助整改，提供整改细则说明及相关配合工作。</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8</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安全咨询服务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包含且不限于按照路网公司要求落实网络安全整体建设规划、设计网络结构改造及优化方案、网络技术咨询、安全技术咨询、安全需求分析、建设期间安全咨询、相关政策文件及上级单位文件落实咨询等服务。</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9</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专项通报服务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根据上级单位要求及本单位通报规范，提供通报数据来源分析、通报信息汇总等服务；针对网监、网信办、交通部、交通局等上级单位及互联网安全漏洞预警通知、安全通报、安全风险排查等响应，提供技术解决方案并处理，提交处理反馈报告；制定重大时刻工作计划与工作方案等。</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10</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网站安全监测</w:t>
            </w:r>
          </w:p>
        </w:tc>
        <w:tc>
          <w:tcPr>
            <w:tcW w:w="3754"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1、对部署在云上的核心业务系统（OA系统、门户网站、财务等）的安全状况采用设备进行监测和预警通报，及时发现网站的安全事件和存在的隐患。对网站各方面进行7x24小时监测；</w:t>
            </w: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2、网站安全监测要求如下：监测内容与范围：能够对网站常见的隐患和安全灾害事故进行监测：漏洞隐患包括Web漏洞和系统漏洞，常见的灾害事故包括挂马网页、篡改网页、含敏感内容网页。</w:t>
            </w: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Web漏洞监测与扫描要求：每个月可以对所监测的网站进行至少一次Web漏洞的扫描与检查。系统漏洞监测与扫描要求：每个月可以对所监测的网站进行至少一次系统漏洞的扫描与检查。漏洞验证要求：能够提供所有中高危漏洞的验证能力，通过周期扫描获取当前漏洞的所处状态，根据漏洞待修复、待复验、已修复等状态的指引，做好漏洞的闭环管理，挂马监测要求：能够对网站主要页面提供挂马监测能力，检测网页中嵌入的恶意代码，例如JS挂马，恶意加密挂马，框架隐藏，挖矿脚本，搜索引擎劫持等。根据不同页面的重要等级提供不同频率监测，提供事件验证能力，排除误报。黑链监测要求：能够对网站主要页面提供黑链监测能力，检测网页中嵌入的恶意暗链（黄赌毒私服等）。根据不同页面的重要等级提供不同频率监测，提供事件验证能力，排除误报。篡改监测要求：能够对网站主要页面提供篡改监测能力，根据不同页面的重要等级提供不同频率监测，提供事件验证能力，排除误报。敏感内容监测要求：能够对网站主要页面提供敏感内容监测能力，根据不同页面的重要等级提供不同频率监测，提供事件验证能力，排除误报。可以在全网范围内进行搜索检测。运营支撑要求：能够对监测的站点、监测项、进行配置与管理。数据存储要求：要求至少存储备份6个月以上监测数据。</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11</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研发需求网络安全分析</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深度参与开发项目需求评审过程，从合规需求和安全功能需求两个方面进行安全需求分析，输出针对应用系统的《安全需求分析报告》。《安全需求分析报告》将作为应用系统概要设计方案的输入，在架构设计阶段将安全考虑进去，减少架构相关的安全问题导致的架构大幅修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12</w:t>
            </w:r>
          </w:p>
        </w:tc>
        <w:tc>
          <w:tcPr>
            <w:tcW w:w="8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驻场服务</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需安排1名驻场工程。驻场人员掌握信息安全技术相关技能，包括但不限于:安全咨询、安全评估、等保服务等方面;掌握等级保护标准、分级保护标准、安全风险评估规范和实施流程及方法，具备等级保护、风险评估、数据中心等信息安全领域咨询和建设的相关标准和测评实施的方法和经验。</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5"/>
                <w:szCs w:val="15"/>
                <w:highlight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13</w:t>
            </w:r>
          </w:p>
        </w:tc>
        <w:tc>
          <w:tcPr>
            <w:tcW w:w="81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其它</w:t>
            </w: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在服务过程中,业主根据实际需求,可能要求增加人员到场工作，或延长工作时长；乙方项目参与人员及角色不得随意更换，若需更换，应经业主同意且提供人员更换书面函；若服务质量不达标，业主有权进行处罚直至终止合同;</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546"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5"/>
                <w:szCs w:val="15"/>
                <w:highlight w:val="none"/>
                <w:u w:val="none"/>
                <w:lang w:val="en-US" w:eastAsia="zh-CN" w:bidi="ar"/>
              </w:rPr>
            </w:pPr>
          </w:p>
        </w:tc>
        <w:tc>
          <w:tcPr>
            <w:tcW w:w="81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5"/>
                <w:szCs w:val="15"/>
                <w:highlight w:val="none"/>
                <w:u w:val="none"/>
                <w:lang w:val="en-US" w:eastAsia="zh-CN" w:bidi="ar"/>
              </w:rPr>
            </w:pPr>
          </w:p>
        </w:tc>
        <w:tc>
          <w:tcPr>
            <w:tcW w:w="375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5"/>
                <w:szCs w:val="15"/>
                <w:highlight w:val="none"/>
                <w:u w:val="none"/>
                <w:lang w:val="en-US" w:eastAsia="zh-CN" w:bidi="ar"/>
              </w:rPr>
            </w:pPr>
            <w:r>
              <w:rPr>
                <w:rFonts w:hint="eastAsia" w:asciiTheme="minorEastAsia" w:hAnsiTheme="minorEastAsia" w:eastAsiaTheme="minorEastAsia" w:cstheme="minorEastAsia"/>
                <w:i w:val="0"/>
                <w:iCs w:val="0"/>
                <w:color w:val="000000"/>
                <w:kern w:val="0"/>
                <w:sz w:val="15"/>
                <w:szCs w:val="15"/>
                <w:highlight w:val="none"/>
                <w:u w:val="none"/>
                <w:lang w:val="en-US" w:eastAsia="zh-CN" w:bidi="ar"/>
              </w:rPr>
              <w:t>根据业主需要，提供市场排名领先品牌的安全服务工具、基线核查工具、检测工具等。</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lang w:val="en-US" w:eastAsia="zh-CN"/>
              </w:rPr>
            </w:pPr>
            <w:r>
              <w:rPr>
                <w:rFonts w:hint="eastAsia" w:asciiTheme="minorEastAsia" w:hAnsiTheme="minorEastAsia" w:eastAsiaTheme="minorEastAsia" w:cstheme="minorEastAsia"/>
                <w:color w:val="auto"/>
                <w:sz w:val="15"/>
                <w:szCs w:val="15"/>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15"/>
                <w:szCs w:val="15"/>
                <w:highlight w:val="none"/>
                <w:lang w:val="en-US" w:eastAsia="zh-CN"/>
              </w:rPr>
            </w:pPr>
            <w:r>
              <w:rPr>
                <w:rFonts w:hint="eastAsia" w:asciiTheme="minorEastAsia" w:hAnsiTheme="minorEastAsia" w:eastAsiaTheme="minorEastAsia" w:cstheme="minorEastAsia"/>
                <w:color w:val="auto"/>
                <w:sz w:val="15"/>
                <w:szCs w:val="15"/>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color w:val="auto"/>
                <w:sz w:val="15"/>
                <w:szCs w:val="15"/>
                <w:highlight w:val="none"/>
              </w:rPr>
            </w:pPr>
          </w:p>
        </w:tc>
      </w:tr>
      <w:tr>
        <w:tblPrEx>
          <w:tblCellMar>
            <w:top w:w="0" w:type="dxa"/>
            <w:left w:w="108" w:type="dxa"/>
            <w:bottom w:w="0" w:type="dxa"/>
            <w:right w:w="108" w:type="dxa"/>
          </w:tblCellMar>
        </w:tblPrEx>
        <w:trPr>
          <w:trHeight w:val="23" w:hRule="atLeast"/>
        </w:trPr>
        <w:tc>
          <w:tcPr>
            <w:tcW w:w="424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424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30" w:name="_Toc18757"/>
      <w:bookmarkStart w:id="231" w:name="_Toc11961"/>
      <w:bookmarkStart w:id="232" w:name="_Toc4544"/>
      <w:bookmarkStart w:id="233" w:name="_Toc12910"/>
      <w:r>
        <w:rPr>
          <w:rFonts w:hint="eastAsia" w:ascii="宋体" w:hAnsi="宋体" w:eastAsia="宋体" w:cs="宋体"/>
          <w:color w:val="auto"/>
          <w:sz w:val="28"/>
          <w:highlight w:val="none"/>
        </w:rPr>
        <w:t>四、资格审查资料</w:t>
      </w:r>
      <w:bookmarkEnd w:id="219"/>
      <w:bookmarkEnd w:id="220"/>
      <w:bookmarkEnd w:id="221"/>
      <w:bookmarkEnd w:id="230"/>
      <w:bookmarkEnd w:id="231"/>
      <w:bookmarkEnd w:id="232"/>
      <w:bookmarkEnd w:id="233"/>
    </w:p>
    <w:bookmarkEnd w:id="222"/>
    <w:bookmarkEnd w:id="223"/>
    <w:bookmarkEnd w:id="224"/>
    <w:bookmarkEnd w:id="225"/>
    <w:bookmarkEnd w:id="226"/>
    <w:bookmarkEnd w:id="227"/>
    <w:bookmarkEnd w:id="228"/>
    <w:bookmarkEnd w:id="229"/>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34" w:name="_Toc503951058"/>
      <w:bookmarkStart w:id="235"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6" w:name="资质要求2"/>
            <w:r>
              <w:rPr>
                <w:rFonts w:hint="eastAsia" w:ascii="宋体" w:hAnsi="宋体" w:eastAsia="宋体" w:cs="宋体"/>
                <w:i w:val="0"/>
                <w:iCs w:val="0"/>
                <w:caps w:val="0"/>
                <w:color w:val="auto"/>
                <w:spacing w:val="0"/>
                <w:sz w:val="21"/>
                <w:szCs w:val="21"/>
                <w:highlight w:val="none"/>
                <w:shd w:val="clear" w:fill="FCFCFC"/>
              </w:rPr>
              <w:t>报价人具有独立法人资格及有效的营业执照。</w:t>
            </w:r>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7" w:name="业绩要求2"/>
            <w:r>
              <w:rPr>
                <w:rFonts w:hint="eastAsia" w:ascii="宋体" w:hAnsi="宋体" w:eastAsia="宋体" w:cs="宋体"/>
                <w:color w:val="auto"/>
                <w:sz w:val="21"/>
                <w:szCs w:val="21"/>
                <w:highlight w:val="none"/>
                <w:lang w:val="en-US" w:eastAsia="zh-CN"/>
              </w:rPr>
              <w:t>2022年1月1日至报价截止日期（以合同签订时间为准）至少独立完成一项合同金额不低于15万元的网络安全建设或服务项目相关业绩</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8"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9" w:name="其他人员要求1"/>
            <w:r>
              <w:rPr>
                <w:rFonts w:hint="eastAsia" w:ascii="宋体" w:hAnsi="宋体" w:cs="宋体"/>
                <w:b w:val="0"/>
                <w:bCs w:val="0"/>
                <w:color w:val="auto"/>
                <w:szCs w:val="21"/>
                <w:highlight w:val="none"/>
                <w:lang w:val="en-US" w:eastAsia="zh-CN"/>
              </w:rPr>
              <w:t>维护人员2人，为报价人公司正式员工且该单位有3年及以上工作经验。</w:t>
            </w:r>
            <w:bookmarkEnd w:id="2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color w:val="auto"/>
          <w:sz w:val="28"/>
          <w:highlight w:val="none"/>
        </w:rPr>
      </w:pPr>
      <w:r>
        <w:rPr>
          <w:rFonts w:hint="eastAsia"/>
          <w:b/>
          <w:bCs/>
          <w:color w:val="auto"/>
          <w:sz w:val="21"/>
          <w:szCs w:val="21"/>
          <w:highlight w:val="none"/>
          <w:lang w:val="en-US" w:eastAsia="zh-CN"/>
        </w:rPr>
        <w:t>4.提供人员资格要求承诺函（格式自拟）。</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40" w:name="_Toc7326"/>
      <w:r>
        <w:rPr>
          <w:rFonts w:hint="eastAsia" w:ascii="宋体" w:hAnsi="宋体" w:eastAsia="宋体" w:cs="宋体"/>
          <w:color w:val="auto"/>
          <w:sz w:val="28"/>
          <w:highlight w:val="none"/>
        </w:rPr>
        <w:t>五、报价人承诺</w:t>
      </w:r>
      <w:bookmarkEnd w:id="240"/>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41" w:name="_Toc22594"/>
      <w:r>
        <w:rPr>
          <w:rFonts w:hint="eastAsia" w:ascii="宋体" w:hAnsi="宋体" w:eastAsia="宋体" w:cs="宋体"/>
          <w:b/>
          <w:bCs/>
          <w:color w:val="auto"/>
          <w:kern w:val="0"/>
          <w:sz w:val="28"/>
          <w:szCs w:val="32"/>
          <w:highlight w:val="none"/>
          <w:lang w:val="en-US" w:eastAsia="zh-CN" w:bidi="ar-SA"/>
        </w:rPr>
        <w:t>六、报价人其他资料</w:t>
      </w:r>
      <w:bookmarkEnd w:id="241"/>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34"/>
    <w:bookmarkEnd w:id="235"/>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26709B0-A57F-4D0A-8FDD-CA833BC5979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D03AE3EA-F15D-435B-A47D-90F124C15A26}"/>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929FD52A-728E-4F81-B0AB-E7115FD346F3}"/>
  </w:font>
  <w:font w:name="仿宋">
    <w:panose1 w:val="02010609060101010101"/>
    <w:charset w:val="86"/>
    <w:family w:val="modern"/>
    <w:pitch w:val="default"/>
    <w:sig w:usb0="800002BF" w:usb1="38CF7CFA" w:usb2="00000016" w:usb3="00000000" w:csb0="00040001" w:csb1="00000000"/>
    <w:embedRegular r:id="rId4" w:fontKey="{66A363B4-908F-42CC-8692-16763E1742B7}"/>
  </w:font>
  <w:font w:name="方正小标宋_GBK">
    <w:panose1 w:val="03000509000000000000"/>
    <w:charset w:val="86"/>
    <w:family w:val="script"/>
    <w:pitch w:val="default"/>
    <w:sig w:usb0="00000001" w:usb1="080E0000" w:usb2="00000000" w:usb3="00000000" w:csb0="00040000" w:csb1="00000000"/>
    <w:embedRegular r:id="rId5" w:fontKey="{D6F5FA0B-6CE5-4CB4-B196-4555E6280F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abstractNum w:abstractNumId="4">
    <w:nsid w:val="65065EAA"/>
    <w:multiLevelType w:val="multilevel"/>
    <w:tmpl w:val="65065EAA"/>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0E0059"/>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AE44F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5</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2025-11-26T08:00:54Z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